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9B8" w:rsidRDefault="006A39B8" w:rsidP="006A39B8">
      <w:pPr>
        <w:tabs>
          <w:tab w:val="left" w:pos="1277"/>
        </w:tabs>
        <w:rPr>
          <w:sz w:val="22"/>
          <w:szCs w:val="22"/>
          <w:lang w:val="sr-Cyrl-CS"/>
        </w:rPr>
      </w:pPr>
    </w:p>
    <w:p w:rsidR="006A39B8" w:rsidRDefault="006A39B8" w:rsidP="006A39B8">
      <w:pPr>
        <w:tabs>
          <w:tab w:val="left" w:pos="1277"/>
        </w:tabs>
        <w:rPr>
          <w:sz w:val="22"/>
          <w:szCs w:val="22"/>
          <w:lang w:val="sr-Cyrl-CS"/>
        </w:rPr>
      </w:pPr>
    </w:p>
    <w:p w:rsidR="006A39B8" w:rsidRDefault="006A39B8" w:rsidP="006A39B8">
      <w:pPr>
        <w:tabs>
          <w:tab w:val="left" w:pos="1277"/>
        </w:tabs>
        <w:rPr>
          <w:sz w:val="22"/>
          <w:szCs w:val="22"/>
          <w:lang/>
        </w:rPr>
      </w:pPr>
      <w:r>
        <w:rPr>
          <w:sz w:val="22"/>
          <w:szCs w:val="22"/>
          <w:lang w:val="sr-Cyrl-CS"/>
        </w:rPr>
        <w:t>На основу Решења о образовању комисије за спровођење поступка прикупљања понуда за субвенцију каматне стопе на одобрене краткорочне кредите за носиоце регистованих пољопривредних газдинстава (физичка лица и земљорадничке задруге), број 02-77/2016-</w:t>
      </w:r>
      <w:r>
        <w:rPr>
          <w:sz w:val="22"/>
          <w:szCs w:val="22"/>
          <w:lang w:val="en-US"/>
        </w:rPr>
        <w:t xml:space="preserve">III </w:t>
      </w:r>
      <w:r>
        <w:rPr>
          <w:sz w:val="22"/>
          <w:szCs w:val="22"/>
        </w:rPr>
        <w:t xml:space="preserve"> од 14.04.2016. године, </w:t>
      </w:r>
      <w:r>
        <w:rPr>
          <w:sz w:val="22"/>
          <w:szCs w:val="22"/>
          <w:lang w:val="sr-Cyrl-CS"/>
        </w:rPr>
        <w:t xml:space="preserve">Општинско веће општине Велика Плана  </w:t>
      </w:r>
      <w:r>
        <w:rPr>
          <w:sz w:val="22"/>
          <w:szCs w:val="22"/>
          <w:lang/>
        </w:rPr>
        <w:t xml:space="preserve">доноси </w:t>
      </w:r>
    </w:p>
    <w:p w:rsidR="006A39B8" w:rsidRDefault="006A39B8" w:rsidP="006A39B8">
      <w:pPr>
        <w:tabs>
          <w:tab w:val="left" w:pos="1277"/>
        </w:tabs>
        <w:rPr>
          <w:sz w:val="22"/>
          <w:szCs w:val="22"/>
          <w:lang/>
        </w:rPr>
      </w:pPr>
    </w:p>
    <w:p w:rsidR="006A39B8" w:rsidRDefault="006A39B8" w:rsidP="006A39B8">
      <w:pPr>
        <w:tabs>
          <w:tab w:val="left" w:pos="1277"/>
        </w:tabs>
        <w:jc w:val="center"/>
        <w:rPr>
          <w:b/>
          <w:sz w:val="22"/>
          <w:szCs w:val="22"/>
          <w:lang/>
        </w:rPr>
      </w:pPr>
    </w:p>
    <w:p w:rsidR="006A39B8" w:rsidRDefault="006A39B8" w:rsidP="006A39B8">
      <w:pPr>
        <w:tabs>
          <w:tab w:val="left" w:pos="1277"/>
        </w:tabs>
        <w:jc w:val="center"/>
        <w:rPr>
          <w:b/>
          <w:sz w:val="22"/>
          <w:szCs w:val="22"/>
          <w:lang/>
        </w:rPr>
      </w:pPr>
      <w:r>
        <w:rPr>
          <w:b/>
          <w:sz w:val="22"/>
          <w:szCs w:val="22"/>
          <w:lang/>
        </w:rPr>
        <w:t>ОДЛУКУ О СУБВЕНЦИОНИСАЊУ КАМАТНЕ СТОПЕ НА ОДОБРЕНЕ КРАТКОРОЧНЕ КРЕДИТЕ ЗА НОСИОЦЕ РЕГИСТРОВАНИХ ПОЉОПРИВРЕДНИХ ГАЗДИНСТАВА</w:t>
      </w:r>
    </w:p>
    <w:p w:rsidR="006A39B8" w:rsidRDefault="006A39B8" w:rsidP="006A39B8">
      <w:pPr>
        <w:rPr>
          <w:sz w:val="22"/>
          <w:szCs w:val="22"/>
          <w:lang/>
        </w:rPr>
      </w:pPr>
    </w:p>
    <w:p w:rsidR="006A39B8" w:rsidRDefault="006A39B8" w:rsidP="006A39B8">
      <w:pPr>
        <w:rPr>
          <w:sz w:val="22"/>
          <w:szCs w:val="22"/>
          <w:lang/>
        </w:rPr>
      </w:pPr>
    </w:p>
    <w:p w:rsidR="006A39B8" w:rsidRDefault="006A39B8" w:rsidP="006A39B8">
      <w:pPr>
        <w:rPr>
          <w:sz w:val="22"/>
          <w:szCs w:val="22"/>
          <w:lang/>
        </w:rPr>
      </w:pPr>
    </w:p>
    <w:p w:rsidR="006A39B8" w:rsidRDefault="006A39B8" w:rsidP="006A39B8">
      <w:pPr>
        <w:ind w:firstLine="720"/>
        <w:rPr>
          <w:sz w:val="22"/>
          <w:szCs w:val="22"/>
          <w:lang/>
        </w:rPr>
      </w:pPr>
      <w:r>
        <w:rPr>
          <w:b/>
          <w:sz w:val="22"/>
          <w:szCs w:val="22"/>
          <w:lang/>
        </w:rPr>
        <w:t xml:space="preserve">Додељује се </w:t>
      </w:r>
      <w:r>
        <w:rPr>
          <w:sz w:val="22"/>
          <w:szCs w:val="22"/>
          <w:lang/>
        </w:rPr>
        <w:t>уговор о субвенционисању каматне стопе на одобрене краткорочне кредите за носиоце регистрованих пољопривредних газдинстава понуђачу „</w:t>
      </w:r>
      <w:r>
        <w:rPr>
          <w:sz w:val="22"/>
          <w:szCs w:val="22"/>
          <w:lang w:val="en-US"/>
        </w:rPr>
        <w:t>OTP bank</w:t>
      </w:r>
      <w:r>
        <w:rPr>
          <w:sz w:val="22"/>
          <w:szCs w:val="22"/>
          <w:lang/>
        </w:rPr>
        <w:t>а</w:t>
      </w:r>
      <w:r>
        <w:rPr>
          <w:sz w:val="22"/>
          <w:szCs w:val="22"/>
        </w:rPr>
        <w:t>“ ад Нови Сад</w:t>
      </w:r>
      <w:r>
        <w:rPr>
          <w:sz w:val="22"/>
          <w:szCs w:val="22"/>
          <w:lang/>
        </w:rPr>
        <w:t>“.</w:t>
      </w:r>
    </w:p>
    <w:p w:rsidR="006A39B8" w:rsidRDefault="006A39B8" w:rsidP="006A39B8">
      <w:pPr>
        <w:rPr>
          <w:sz w:val="22"/>
          <w:szCs w:val="22"/>
          <w:lang/>
        </w:rPr>
      </w:pPr>
      <w:r>
        <w:rPr>
          <w:sz w:val="22"/>
          <w:szCs w:val="22"/>
          <w:lang/>
        </w:rPr>
        <w:tab/>
        <w:t>Одлуку објавити на сајту општине Велика Плана у року од три дана од дана доношења.</w:t>
      </w:r>
    </w:p>
    <w:p w:rsidR="006A39B8" w:rsidRDefault="006A39B8" w:rsidP="006A39B8">
      <w:pPr>
        <w:rPr>
          <w:sz w:val="22"/>
          <w:szCs w:val="22"/>
          <w:lang/>
        </w:rPr>
      </w:pPr>
    </w:p>
    <w:p w:rsidR="006A39B8" w:rsidRDefault="006A39B8" w:rsidP="006A39B8">
      <w:pPr>
        <w:rPr>
          <w:sz w:val="22"/>
          <w:szCs w:val="22"/>
          <w:lang/>
        </w:rPr>
      </w:pPr>
    </w:p>
    <w:p w:rsidR="006A39B8" w:rsidRDefault="006A39B8" w:rsidP="006A39B8">
      <w:pPr>
        <w:tabs>
          <w:tab w:val="left" w:pos="4171"/>
        </w:tabs>
        <w:rPr>
          <w:b/>
          <w:sz w:val="22"/>
          <w:szCs w:val="22"/>
          <w:lang/>
        </w:rPr>
      </w:pPr>
      <w:r>
        <w:rPr>
          <w:sz w:val="22"/>
          <w:szCs w:val="22"/>
          <w:lang/>
        </w:rPr>
        <w:tab/>
      </w:r>
      <w:r>
        <w:rPr>
          <w:b/>
          <w:sz w:val="22"/>
          <w:szCs w:val="22"/>
          <w:lang/>
        </w:rPr>
        <w:t>Образложење:</w:t>
      </w:r>
    </w:p>
    <w:p w:rsidR="006A39B8" w:rsidRDefault="006A39B8" w:rsidP="006A39B8">
      <w:pPr>
        <w:rPr>
          <w:sz w:val="22"/>
          <w:szCs w:val="22"/>
          <w:lang/>
        </w:rPr>
      </w:pPr>
    </w:p>
    <w:p w:rsidR="006A39B8" w:rsidRDefault="006A39B8" w:rsidP="006A39B8">
      <w:pPr>
        <w:rPr>
          <w:sz w:val="22"/>
          <w:szCs w:val="22"/>
          <w:lang/>
        </w:rPr>
      </w:pPr>
    </w:p>
    <w:p w:rsidR="006A39B8" w:rsidRDefault="006A39B8" w:rsidP="006A39B8">
      <w:pPr>
        <w:ind w:firstLine="720"/>
        <w:jc w:val="both"/>
        <w:rPr>
          <w:sz w:val="22"/>
          <w:szCs w:val="22"/>
          <w:lang w:val="sr-Cyrl-CS"/>
        </w:rPr>
      </w:pPr>
      <w:r>
        <w:rPr>
          <w:sz w:val="22"/>
          <w:szCs w:val="22"/>
          <w:lang w:val="sr-Cyrl-CS"/>
        </w:rPr>
        <w:t>Комисија  за спровођење поступка прикупљања понуда за субвенцију каматне стопе на одобрене краткорочне кредите за носиоце регистованих пољопривредних газдинстава (физичка лица и земљорадничке задруге) је дана 15.04.2016. године, свим банкама на територији општине Велика Плана, доставила Јавни позив за достављање понуда за субвенцију каматне стопе на одобрене краткорочне кредите за носиоце регистованих пољопривредних газдинстава (физичка лица и земљорадничке задруге). Истог дана, позив је објављен и на званичној интернет презентацији општине Велика Плана и огласној табли Општинске управе општине Велика Плана.</w:t>
      </w:r>
    </w:p>
    <w:p w:rsidR="006A39B8" w:rsidRDefault="006A39B8" w:rsidP="006A39B8">
      <w:pPr>
        <w:pStyle w:val="BodyText"/>
        <w:jc w:val="left"/>
        <w:rPr>
          <w:b/>
          <w:i/>
          <w:sz w:val="22"/>
          <w:szCs w:val="22"/>
        </w:rPr>
      </w:pPr>
      <w:r>
        <w:rPr>
          <w:b/>
          <w:i/>
          <w:sz w:val="22"/>
          <w:szCs w:val="22"/>
        </w:rPr>
        <w:t xml:space="preserve"> </w:t>
      </w:r>
    </w:p>
    <w:p w:rsidR="006A39B8" w:rsidRDefault="006A39B8" w:rsidP="006A39B8">
      <w:pPr>
        <w:pStyle w:val="BodyText"/>
        <w:jc w:val="left"/>
        <w:rPr>
          <w:b/>
          <w:i/>
          <w:sz w:val="22"/>
          <w:szCs w:val="22"/>
        </w:rPr>
      </w:pPr>
      <w:r>
        <w:rPr>
          <w:sz w:val="22"/>
          <w:szCs w:val="22"/>
        </w:rPr>
        <w:t>Рок за достављање понуда је био  до 20.04.2016. године до 15.00 часова.</w:t>
      </w:r>
    </w:p>
    <w:p w:rsidR="006A39B8" w:rsidRDefault="006A39B8" w:rsidP="006A39B8">
      <w:pPr>
        <w:ind w:left="705"/>
        <w:jc w:val="both"/>
        <w:rPr>
          <w:sz w:val="22"/>
          <w:szCs w:val="22"/>
          <w:lang w:val="sr-Cyrl-CS"/>
        </w:rPr>
      </w:pPr>
    </w:p>
    <w:p w:rsidR="006A39B8" w:rsidRDefault="006A39B8" w:rsidP="006A39B8">
      <w:pPr>
        <w:jc w:val="both"/>
        <w:rPr>
          <w:sz w:val="22"/>
          <w:szCs w:val="22"/>
          <w:lang w:val="sr-Cyrl-CS"/>
        </w:rPr>
      </w:pPr>
      <w:r>
        <w:rPr>
          <w:sz w:val="22"/>
          <w:szCs w:val="22"/>
          <w:lang w:val="sr-Cyrl-CS"/>
        </w:rPr>
        <w:t>Благовремено, до истека рока за подношење понуда,  достављене су понуде следећих банака:</w:t>
      </w:r>
    </w:p>
    <w:p w:rsidR="006A39B8" w:rsidRDefault="006A39B8" w:rsidP="006A39B8">
      <w:pPr>
        <w:jc w:val="both"/>
        <w:rPr>
          <w:sz w:val="22"/>
          <w:szCs w:val="22"/>
          <w:lang w:val="sr-Cyrl-CS"/>
        </w:rPr>
      </w:pPr>
      <w:r>
        <w:rPr>
          <w:sz w:val="22"/>
          <w:szCs w:val="22"/>
          <w:lang w:val="sr-Cyrl-CS"/>
        </w:rPr>
        <w:t xml:space="preserve"> </w:t>
      </w:r>
    </w:p>
    <w:p w:rsidR="006A39B8" w:rsidRDefault="006A39B8" w:rsidP="006A39B8">
      <w:pPr>
        <w:jc w:val="both"/>
        <w:rPr>
          <w:b/>
          <w:sz w:val="22"/>
          <w:szCs w:val="22"/>
          <w:lang w:val="sr-Cyrl-CS"/>
        </w:rPr>
      </w:pPr>
      <w:r>
        <w:rPr>
          <w:b/>
          <w:sz w:val="22"/>
          <w:szCs w:val="22"/>
          <w:lang w:val="sr-Cyrl-CS"/>
        </w:rPr>
        <w:t xml:space="preserve">Број под којим </w:t>
      </w:r>
    </w:p>
    <w:p w:rsidR="006A39B8" w:rsidRDefault="006A39B8" w:rsidP="006A39B8">
      <w:pPr>
        <w:jc w:val="both"/>
        <w:rPr>
          <w:b/>
          <w:sz w:val="22"/>
          <w:szCs w:val="22"/>
          <w:u w:val="single"/>
          <w:lang w:val="sr-Cyrl-CS"/>
        </w:rPr>
      </w:pPr>
      <w:r>
        <w:rPr>
          <w:b/>
          <w:sz w:val="22"/>
          <w:szCs w:val="22"/>
          <w:u w:val="single"/>
          <w:lang w:val="sr-Cyrl-CS"/>
        </w:rPr>
        <w:t>је понуда заведена</w:t>
      </w:r>
      <w:r>
        <w:rPr>
          <w:b/>
          <w:sz w:val="22"/>
          <w:szCs w:val="22"/>
          <w:u w:val="single"/>
          <w:lang w:val="sr-Cyrl-CS"/>
        </w:rPr>
        <w:tab/>
        <w:t xml:space="preserve"> Назив или шифра понуђача                        Датум пријема          Сат___ </w:t>
      </w:r>
    </w:p>
    <w:p w:rsidR="006A39B8" w:rsidRDefault="006A39B8" w:rsidP="006A39B8">
      <w:pPr>
        <w:tabs>
          <w:tab w:val="left" w:pos="5955"/>
        </w:tabs>
        <w:jc w:val="both"/>
        <w:rPr>
          <w:sz w:val="22"/>
          <w:szCs w:val="22"/>
          <w:u w:val="single"/>
          <w:lang w:val="sr-Cyrl-CS"/>
        </w:rPr>
      </w:pPr>
    </w:p>
    <w:p w:rsidR="006A39B8" w:rsidRDefault="006A39B8" w:rsidP="006A39B8">
      <w:pPr>
        <w:tabs>
          <w:tab w:val="num" w:pos="360"/>
        </w:tabs>
        <w:jc w:val="both"/>
        <w:rPr>
          <w:sz w:val="22"/>
          <w:szCs w:val="22"/>
          <w:lang w:val="sr-Cyrl-CS"/>
        </w:rPr>
      </w:pPr>
      <w:r>
        <w:rPr>
          <w:sz w:val="22"/>
          <w:szCs w:val="22"/>
          <w:lang w:val="sr-Cyrl-CS"/>
        </w:rPr>
        <w:t>..1923...........................“</w:t>
      </w:r>
      <w:r>
        <w:rPr>
          <w:sz w:val="22"/>
          <w:szCs w:val="22"/>
          <w:lang w:val="en-US"/>
        </w:rPr>
        <w:t xml:space="preserve">OTP </w:t>
      </w:r>
      <w:proofErr w:type="spellStart"/>
      <w:r>
        <w:rPr>
          <w:sz w:val="22"/>
          <w:szCs w:val="22"/>
          <w:lang w:val="en-US"/>
        </w:rPr>
        <w:t>banka</w:t>
      </w:r>
      <w:proofErr w:type="spellEnd"/>
      <w:proofErr w:type="gramStart"/>
      <w:r>
        <w:rPr>
          <w:sz w:val="22"/>
          <w:szCs w:val="22"/>
        </w:rPr>
        <w:t>“ ад</w:t>
      </w:r>
      <w:proofErr w:type="gramEnd"/>
      <w:r>
        <w:rPr>
          <w:sz w:val="22"/>
          <w:szCs w:val="22"/>
        </w:rPr>
        <w:t xml:space="preserve"> Нови Сад...........</w:t>
      </w:r>
      <w:r>
        <w:rPr>
          <w:sz w:val="22"/>
          <w:szCs w:val="22"/>
          <w:lang w:val="sr-Cyrl-CS"/>
        </w:rPr>
        <w:t>...........................20.04.2016..............08,40...</w:t>
      </w:r>
      <w:r>
        <w:rPr>
          <w:sz w:val="22"/>
          <w:szCs w:val="22"/>
          <w:u w:val="single"/>
          <w:lang w:val="sr-Cyrl-CS"/>
        </w:rPr>
        <w:t xml:space="preserve"> </w:t>
      </w:r>
    </w:p>
    <w:p w:rsidR="006A39B8" w:rsidRDefault="006A39B8" w:rsidP="006A39B8">
      <w:pPr>
        <w:tabs>
          <w:tab w:val="num" w:pos="360"/>
        </w:tabs>
        <w:jc w:val="both"/>
        <w:rPr>
          <w:sz w:val="22"/>
          <w:szCs w:val="22"/>
          <w:lang w:val="sr-Cyrl-CS"/>
        </w:rPr>
      </w:pPr>
      <w:r>
        <w:rPr>
          <w:sz w:val="22"/>
          <w:szCs w:val="22"/>
          <w:lang w:val="sr-Cyrl-CS"/>
        </w:rPr>
        <w:t>..1944...........................“</w:t>
      </w:r>
      <w:r>
        <w:rPr>
          <w:sz w:val="22"/>
          <w:szCs w:val="22"/>
        </w:rPr>
        <w:t>Banka Intesa“</w:t>
      </w:r>
      <w:r>
        <w:rPr>
          <w:sz w:val="22"/>
          <w:szCs w:val="22"/>
          <w:lang w:val="sr-Cyrl-CS"/>
        </w:rPr>
        <w:t>ад Београд........................................20.04.2016..............12,55...</w:t>
      </w:r>
    </w:p>
    <w:p w:rsidR="006A39B8" w:rsidRDefault="006A39B8" w:rsidP="006A39B8">
      <w:pPr>
        <w:tabs>
          <w:tab w:val="num" w:pos="360"/>
        </w:tabs>
        <w:jc w:val="both"/>
        <w:rPr>
          <w:sz w:val="22"/>
          <w:szCs w:val="22"/>
          <w:lang w:val="en-US"/>
        </w:rPr>
      </w:pPr>
      <w:r>
        <w:rPr>
          <w:sz w:val="22"/>
          <w:szCs w:val="22"/>
          <w:lang w:val="en-US"/>
        </w:rPr>
        <w:t xml:space="preserve"> </w:t>
      </w:r>
    </w:p>
    <w:p w:rsidR="006A39B8" w:rsidRDefault="006A39B8" w:rsidP="006A39B8">
      <w:pPr>
        <w:jc w:val="both"/>
        <w:rPr>
          <w:sz w:val="22"/>
          <w:szCs w:val="22"/>
          <w:lang w:val="sr-Cyrl-CS"/>
        </w:rPr>
      </w:pPr>
      <w:r>
        <w:rPr>
          <w:sz w:val="22"/>
          <w:szCs w:val="22"/>
          <w:lang w:val="sr-Cyrl-CS"/>
        </w:rPr>
        <w:t>Неблаговремених понуда нема.</w:t>
      </w:r>
    </w:p>
    <w:p w:rsidR="006A39B8" w:rsidRDefault="006A39B8" w:rsidP="006A39B8">
      <w:pPr>
        <w:jc w:val="both"/>
        <w:rPr>
          <w:sz w:val="22"/>
          <w:szCs w:val="22"/>
          <w:lang w:val="sr-Cyrl-CS"/>
        </w:rPr>
      </w:pPr>
    </w:p>
    <w:p w:rsidR="006A39B8" w:rsidRDefault="006A39B8" w:rsidP="006A39B8">
      <w:pPr>
        <w:jc w:val="both"/>
        <w:rPr>
          <w:sz w:val="22"/>
          <w:szCs w:val="22"/>
          <w:lang w:val="sr-Cyrl-CS"/>
        </w:rPr>
      </w:pPr>
      <w:r>
        <w:rPr>
          <w:sz w:val="22"/>
          <w:szCs w:val="22"/>
          <w:lang w:val="sr-Cyrl-CS"/>
        </w:rPr>
        <w:t>У Јавном позиву је дефинисано да у понуди треба исказати номиналну и ефективну каматну стопу на годишњем нивоу, у процентима, за износ кредита од  60.000,00  до 120.000,00 динара   са периодом отплате главнице до 12 месеци и периодом отплате камате до 31.12.2016. године.</w:t>
      </w:r>
    </w:p>
    <w:p w:rsidR="006A39B8" w:rsidRDefault="006A39B8" w:rsidP="006A39B8">
      <w:pPr>
        <w:jc w:val="both"/>
        <w:rPr>
          <w:sz w:val="22"/>
          <w:szCs w:val="22"/>
          <w:lang w:val="sr-Cyrl-CS"/>
        </w:rPr>
      </w:pPr>
    </w:p>
    <w:p w:rsidR="006A39B8" w:rsidRDefault="006A39B8" w:rsidP="006A39B8">
      <w:pPr>
        <w:jc w:val="both"/>
        <w:rPr>
          <w:sz w:val="22"/>
          <w:szCs w:val="22"/>
          <w:lang w:val="sr-Cyrl-CS"/>
        </w:rPr>
      </w:pPr>
      <w:r>
        <w:rPr>
          <w:sz w:val="22"/>
          <w:szCs w:val="22"/>
          <w:lang w:val="sr-Cyrl-CS"/>
        </w:rPr>
        <w:t>Обзиром да Општина Велика Плана субвенционише камату на одобрене кредите у износу од 100%, те да трошкове једнократне накнаде за обраду кредита сноси корисник, критеријум за избор најповољније понуде је најнижа номинална каматна стопа на годишњем нивоу.</w:t>
      </w:r>
    </w:p>
    <w:p w:rsidR="006A39B8" w:rsidRDefault="006A39B8" w:rsidP="006A39B8">
      <w:pPr>
        <w:jc w:val="both"/>
        <w:rPr>
          <w:sz w:val="22"/>
          <w:szCs w:val="22"/>
          <w:lang w:val="sr-Cyrl-CS"/>
        </w:rPr>
      </w:pPr>
    </w:p>
    <w:p w:rsidR="006A39B8" w:rsidRDefault="006A39B8" w:rsidP="006A39B8">
      <w:pPr>
        <w:jc w:val="both"/>
        <w:rPr>
          <w:sz w:val="22"/>
          <w:szCs w:val="22"/>
          <w:lang w:val="sr-Cyrl-CS"/>
        </w:rPr>
      </w:pPr>
      <w:r>
        <w:rPr>
          <w:sz w:val="22"/>
          <w:szCs w:val="22"/>
          <w:lang w:val="sr-Cyrl-CS"/>
        </w:rPr>
        <w:t>Комисија је спровела отварање понуда дана 21.04. 2016. године са почетком у 10,50 часова.</w:t>
      </w:r>
    </w:p>
    <w:p w:rsidR="006A39B8" w:rsidRDefault="006A39B8" w:rsidP="006A39B8">
      <w:pPr>
        <w:jc w:val="both"/>
        <w:rPr>
          <w:sz w:val="22"/>
          <w:szCs w:val="22"/>
          <w:lang w:val="sr-Cyrl-CS"/>
        </w:rPr>
      </w:pPr>
    </w:p>
    <w:p w:rsidR="006A39B8" w:rsidRDefault="006A39B8" w:rsidP="006A39B8">
      <w:pPr>
        <w:jc w:val="both"/>
        <w:rPr>
          <w:sz w:val="22"/>
          <w:szCs w:val="22"/>
          <w:lang w:val="sr-Cyrl-CS"/>
        </w:rPr>
      </w:pPr>
      <w:r>
        <w:rPr>
          <w:sz w:val="22"/>
          <w:szCs w:val="22"/>
          <w:lang w:val="sr-Cyrl-CS"/>
        </w:rPr>
        <w:lastRenderedPageBreak/>
        <w:t xml:space="preserve">Банке су доставиле следеће понуде: </w:t>
      </w:r>
    </w:p>
    <w:p w:rsidR="006A39B8" w:rsidRDefault="006A39B8" w:rsidP="006A39B8">
      <w:pPr>
        <w:jc w:val="both"/>
        <w:rPr>
          <w:b/>
          <w:sz w:val="22"/>
          <w:szCs w:val="22"/>
          <w:lang w:val="sr-Cyrl-CS"/>
        </w:rPr>
      </w:pPr>
    </w:p>
    <w:p w:rsidR="006A39B8" w:rsidRDefault="006A39B8" w:rsidP="006A39B8">
      <w:pP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3398"/>
        <w:gridCol w:w="2547"/>
        <w:gridCol w:w="2533"/>
      </w:tblGrid>
      <w:tr w:rsidR="006A39B8" w:rsidTr="006A39B8">
        <w:tc>
          <w:tcPr>
            <w:tcW w:w="1098" w:type="dxa"/>
            <w:tcBorders>
              <w:top w:val="single" w:sz="4" w:space="0" w:color="000000"/>
              <w:left w:val="single" w:sz="4" w:space="0" w:color="000000"/>
              <w:bottom w:val="single" w:sz="4" w:space="0" w:color="000000"/>
              <w:right w:val="single" w:sz="4" w:space="0" w:color="000000"/>
            </w:tcBorders>
            <w:shd w:val="clear" w:color="auto" w:fill="D9D9D9"/>
          </w:tcPr>
          <w:p w:rsidR="006A39B8" w:rsidRDefault="006A39B8">
            <w:pPr>
              <w:pStyle w:val="BodyText"/>
              <w:jc w:val="center"/>
              <w:rPr>
                <w:b/>
                <w:sz w:val="22"/>
                <w:szCs w:val="22"/>
              </w:rPr>
            </w:pPr>
          </w:p>
          <w:p w:rsidR="006A39B8" w:rsidRDefault="006A39B8">
            <w:pPr>
              <w:pStyle w:val="BodyText"/>
              <w:jc w:val="center"/>
              <w:rPr>
                <w:b/>
                <w:sz w:val="22"/>
                <w:szCs w:val="22"/>
              </w:rPr>
            </w:pPr>
            <w:r>
              <w:rPr>
                <w:b/>
                <w:sz w:val="22"/>
                <w:szCs w:val="22"/>
              </w:rPr>
              <w:t xml:space="preserve">Редни број </w:t>
            </w:r>
          </w:p>
        </w:tc>
        <w:tc>
          <w:tcPr>
            <w:tcW w:w="3398" w:type="dxa"/>
            <w:tcBorders>
              <w:top w:val="single" w:sz="4" w:space="0" w:color="000000"/>
              <w:left w:val="single" w:sz="4" w:space="0" w:color="000000"/>
              <w:bottom w:val="single" w:sz="4" w:space="0" w:color="000000"/>
              <w:right w:val="single" w:sz="4" w:space="0" w:color="000000"/>
            </w:tcBorders>
            <w:shd w:val="clear" w:color="auto" w:fill="D9D9D9"/>
          </w:tcPr>
          <w:p w:rsidR="006A39B8" w:rsidRDefault="006A39B8">
            <w:pPr>
              <w:pStyle w:val="BodyText"/>
              <w:jc w:val="center"/>
              <w:rPr>
                <w:b/>
                <w:sz w:val="22"/>
                <w:szCs w:val="22"/>
              </w:rPr>
            </w:pPr>
          </w:p>
          <w:p w:rsidR="006A39B8" w:rsidRDefault="006A39B8">
            <w:pPr>
              <w:pStyle w:val="BodyText"/>
              <w:jc w:val="center"/>
              <w:rPr>
                <w:b/>
                <w:sz w:val="22"/>
                <w:szCs w:val="22"/>
              </w:rPr>
            </w:pPr>
            <w:r>
              <w:rPr>
                <w:b/>
                <w:sz w:val="22"/>
                <w:szCs w:val="22"/>
              </w:rPr>
              <w:t>Назив банке</w:t>
            </w:r>
          </w:p>
        </w:tc>
        <w:tc>
          <w:tcPr>
            <w:tcW w:w="2547" w:type="dxa"/>
            <w:tcBorders>
              <w:top w:val="single" w:sz="4" w:space="0" w:color="000000"/>
              <w:left w:val="single" w:sz="4" w:space="0" w:color="000000"/>
              <w:bottom w:val="single" w:sz="4" w:space="0" w:color="000000"/>
              <w:right w:val="single" w:sz="4" w:space="0" w:color="000000"/>
            </w:tcBorders>
            <w:shd w:val="clear" w:color="auto" w:fill="D9D9D9"/>
            <w:hideMark/>
          </w:tcPr>
          <w:p w:rsidR="006A39B8" w:rsidRDefault="006A39B8">
            <w:pPr>
              <w:pStyle w:val="BodyText"/>
              <w:jc w:val="center"/>
              <w:rPr>
                <w:b/>
                <w:sz w:val="22"/>
                <w:szCs w:val="22"/>
              </w:rPr>
            </w:pPr>
            <w:r>
              <w:rPr>
                <w:b/>
                <w:sz w:val="22"/>
                <w:szCs w:val="22"/>
              </w:rPr>
              <w:t>Номинална каматна стопа на годишњем нивоу</w:t>
            </w:r>
          </w:p>
        </w:tc>
        <w:tc>
          <w:tcPr>
            <w:tcW w:w="2533" w:type="dxa"/>
            <w:tcBorders>
              <w:top w:val="single" w:sz="4" w:space="0" w:color="000000"/>
              <w:left w:val="single" w:sz="4" w:space="0" w:color="000000"/>
              <w:bottom w:val="single" w:sz="4" w:space="0" w:color="000000"/>
              <w:right w:val="single" w:sz="4" w:space="0" w:color="000000"/>
            </w:tcBorders>
            <w:shd w:val="clear" w:color="auto" w:fill="D9D9D9"/>
            <w:hideMark/>
          </w:tcPr>
          <w:p w:rsidR="006A39B8" w:rsidRDefault="006A39B8">
            <w:pPr>
              <w:pStyle w:val="BodyText"/>
              <w:jc w:val="center"/>
              <w:rPr>
                <w:b/>
                <w:sz w:val="22"/>
                <w:szCs w:val="22"/>
              </w:rPr>
            </w:pPr>
            <w:r>
              <w:rPr>
                <w:b/>
                <w:sz w:val="22"/>
                <w:szCs w:val="22"/>
              </w:rPr>
              <w:t>Ефективна каматна стопа на годишњем нивоу</w:t>
            </w:r>
          </w:p>
        </w:tc>
      </w:tr>
      <w:tr w:rsidR="006A39B8" w:rsidTr="006A39B8">
        <w:tc>
          <w:tcPr>
            <w:tcW w:w="1098" w:type="dxa"/>
            <w:tcBorders>
              <w:top w:val="single" w:sz="4" w:space="0" w:color="000000"/>
              <w:left w:val="single" w:sz="4" w:space="0" w:color="000000"/>
              <w:bottom w:val="single" w:sz="4" w:space="0" w:color="000000"/>
              <w:right w:val="single" w:sz="4" w:space="0" w:color="000000"/>
            </w:tcBorders>
          </w:tcPr>
          <w:p w:rsidR="006A39B8" w:rsidRDefault="006A39B8">
            <w:pPr>
              <w:pStyle w:val="BodyText"/>
              <w:jc w:val="center"/>
              <w:rPr>
                <w:sz w:val="22"/>
                <w:szCs w:val="22"/>
              </w:rPr>
            </w:pPr>
          </w:p>
          <w:p w:rsidR="006A39B8" w:rsidRDefault="006A39B8">
            <w:pPr>
              <w:pStyle w:val="BodyText"/>
              <w:jc w:val="center"/>
              <w:rPr>
                <w:sz w:val="22"/>
                <w:szCs w:val="22"/>
              </w:rPr>
            </w:pPr>
            <w:r>
              <w:rPr>
                <w:sz w:val="22"/>
                <w:szCs w:val="22"/>
              </w:rPr>
              <w:t>1.</w:t>
            </w:r>
          </w:p>
        </w:tc>
        <w:tc>
          <w:tcPr>
            <w:tcW w:w="3398" w:type="dxa"/>
            <w:tcBorders>
              <w:top w:val="single" w:sz="4" w:space="0" w:color="000000"/>
              <w:left w:val="single" w:sz="4" w:space="0" w:color="000000"/>
              <w:bottom w:val="single" w:sz="4" w:space="0" w:color="000000"/>
              <w:right w:val="single" w:sz="4" w:space="0" w:color="000000"/>
            </w:tcBorders>
          </w:tcPr>
          <w:p w:rsidR="006A39B8" w:rsidRDefault="006A39B8">
            <w:pPr>
              <w:pStyle w:val="BodyText"/>
              <w:rPr>
                <w:sz w:val="22"/>
                <w:szCs w:val="22"/>
              </w:rPr>
            </w:pPr>
          </w:p>
          <w:p w:rsidR="006A39B8" w:rsidRDefault="006A39B8">
            <w:pPr>
              <w:pStyle w:val="BodyText"/>
              <w:rPr>
                <w:sz w:val="22"/>
                <w:szCs w:val="22"/>
              </w:rPr>
            </w:pPr>
            <w:r>
              <w:rPr>
                <w:sz w:val="22"/>
                <w:szCs w:val="22"/>
              </w:rPr>
              <w:t xml:space="preserve"> “</w:t>
            </w:r>
            <w:r>
              <w:rPr>
                <w:sz w:val="22"/>
                <w:szCs w:val="22"/>
                <w:lang w:val="en-US"/>
              </w:rPr>
              <w:t xml:space="preserve">OTP </w:t>
            </w:r>
            <w:proofErr w:type="spellStart"/>
            <w:r>
              <w:rPr>
                <w:sz w:val="22"/>
                <w:szCs w:val="22"/>
                <w:lang w:val="en-US"/>
              </w:rPr>
              <w:t>banka</w:t>
            </w:r>
            <w:proofErr w:type="spellEnd"/>
            <w:r>
              <w:rPr>
                <w:sz w:val="22"/>
                <w:szCs w:val="22"/>
              </w:rPr>
              <w:t>“ ад Нови Сад</w:t>
            </w:r>
          </w:p>
          <w:p w:rsidR="006A39B8" w:rsidRDefault="006A39B8">
            <w:pPr>
              <w:pStyle w:val="BodyText"/>
              <w:rPr>
                <w:sz w:val="22"/>
                <w:szCs w:val="22"/>
              </w:rPr>
            </w:pPr>
          </w:p>
        </w:tc>
        <w:tc>
          <w:tcPr>
            <w:tcW w:w="2547" w:type="dxa"/>
            <w:tcBorders>
              <w:top w:val="single" w:sz="4" w:space="0" w:color="000000"/>
              <w:left w:val="single" w:sz="4" w:space="0" w:color="000000"/>
              <w:bottom w:val="single" w:sz="4" w:space="0" w:color="000000"/>
              <w:right w:val="single" w:sz="4" w:space="0" w:color="000000"/>
            </w:tcBorders>
          </w:tcPr>
          <w:p w:rsidR="006A39B8" w:rsidRDefault="006A39B8">
            <w:pPr>
              <w:pStyle w:val="BodyText"/>
              <w:jc w:val="center"/>
              <w:rPr>
                <w:sz w:val="22"/>
                <w:szCs w:val="22"/>
              </w:rPr>
            </w:pPr>
          </w:p>
          <w:p w:rsidR="006A39B8" w:rsidRDefault="006A39B8">
            <w:pPr>
              <w:pStyle w:val="BodyText"/>
              <w:jc w:val="center"/>
              <w:rPr>
                <w:sz w:val="22"/>
                <w:szCs w:val="22"/>
              </w:rPr>
            </w:pPr>
            <w:r>
              <w:rPr>
                <w:sz w:val="22"/>
                <w:szCs w:val="22"/>
              </w:rPr>
              <w:t>10%</w:t>
            </w:r>
          </w:p>
        </w:tc>
        <w:tc>
          <w:tcPr>
            <w:tcW w:w="2533" w:type="dxa"/>
            <w:tcBorders>
              <w:top w:val="single" w:sz="4" w:space="0" w:color="000000"/>
              <w:left w:val="single" w:sz="4" w:space="0" w:color="000000"/>
              <w:bottom w:val="single" w:sz="4" w:space="0" w:color="000000"/>
              <w:right w:val="single" w:sz="4" w:space="0" w:color="000000"/>
            </w:tcBorders>
          </w:tcPr>
          <w:p w:rsidR="006A39B8" w:rsidRDefault="006A39B8">
            <w:pPr>
              <w:pStyle w:val="BodyText"/>
              <w:jc w:val="center"/>
              <w:rPr>
                <w:sz w:val="22"/>
                <w:szCs w:val="22"/>
              </w:rPr>
            </w:pPr>
          </w:p>
          <w:p w:rsidR="006A39B8" w:rsidRDefault="006A39B8">
            <w:pPr>
              <w:pStyle w:val="BodyText"/>
              <w:jc w:val="center"/>
              <w:rPr>
                <w:sz w:val="22"/>
                <w:szCs w:val="22"/>
              </w:rPr>
            </w:pPr>
            <w:r>
              <w:rPr>
                <w:sz w:val="22"/>
                <w:szCs w:val="22"/>
              </w:rPr>
              <w:t>13,90%</w:t>
            </w:r>
          </w:p>
        </w:tc>
      </w:tr>
      <w:tr w:rsidR="006A39B8" w:rsidTr="006A39B8">
        <w:tc>
          <w:tcPr>
            <w:tcW w:w="1098" w:type="dxa"/>
            <w:tcBorders>
              <w:top w:val="single" w:sz="4" w:space="0" w:color="000000"/>
              <w:left w:val="single" w:sz="4" w:space="0" w:color="000000"/>
              <w:bottom w:val="single" w:sz="4" w:space="0" w:color="000000"/>
              <w:right w:val="single" w:sz="4" w:space="0" w:color="000000"/>
            </w:tcBorders>
          </w:tcPr>
          <w:p w:rsidR="006A39B8" w:rsidRDefault="006A39B8">
            <w:pPr>
              <w:pStyle w:val="BodyText"/>
              <w:jc w:val="center"/>
              <w:rPr>
                <w:sz w:val="22"/>
                <w:szCs w:val="22"/>
              </w:rPr>
            </w:pPr>
          </w:p>
          <w:p w:rsidR="006A39B8" w:rsidRDefault="006A39B8">
            <w:pPr>
              <w:pStyle w:val="BodyText"/>
              <w:jc w:val="center"/>
              <w:rPr>
                <w:sz w:val="22"/>
                <w:szCs w:val="22"/>
              </w:rPr>
            </w:pPr>
            <w:r>
              <w:rPr>
                <w:sz w:val="22"/>
                <w:szCs w:val="22"/>
              </w:rPr>
              <w:t>2.</w:t>
            </w:r>
          </w:p>
        </w:tc>
        <w:tc>
          <w:tcPr>
            <w:tcW w:w="3398" w:type="dxa"/>
            <w:tcBorders>
              <w:top w:val="single" w:sz="4" w:space="0" w:color="000000"/>
              <w:left w:val="single" w:sz="4" w:space="0" w:color="000000"/>
              <w:bottom w:val="single" w:sz="4" w:space="0" w:color="000000"/>
              <w:right w:val="single" w:sz="4" w:space="0" w:color="000000"/>
            </w:tcBorders>
          </w:tcPr>
          <w:p w:rsidR="006A39B8" w:rsidRDefault="006A39B8">
            <w:pPr>
              <w:pStyle w:val="BodyText"/>
              <w:rPr>
                <w:sz w:val="22"/>
                <w:szCs w:val="22"/>
              </w:rPr>
            </w:pPr>
          </w:p>
          <w:p w:rsidR="006A39B8" w:rsidRDefault="006A39B8">
            <w:pPr>
              <w:pStyle w:val="BodyText"/>
              <w:rPr>
                <w:sz w:val="22"/>
                <w:szCs w:val="22"/>
              </w:rPr>
            </w:pPr>
            <w:r>
              <w:rPr>
                <w:sz w:val="22"/>
                <w:szCs w:val="22"/>
              </w:rPr>
              <w:t>“Banka Intesa“  ад Београд</w:t>
            </w:r>
          </w:p>
          <w:p w:rsidR="006A39B8" w:rsidRDefault="006A39B8">
            <w:pPr>
              <w:pStyle w:val="BodyText"/>
              <w:rPr>
                <w:sz w:val="22"/>
                <w:szCs w:val="22"/>
              </w:rPr>
            </w:pPr>
          </w:p>
        </w:tc>
        <w:tc>
          <w:tcPr>
            <w:tcW w:w="2547" w:type="dxa"/>
            <w:tcBorders>
              <w:top w:val="single" w:sz="4" w:space="0" w:color="000000"/>
              <w:left w:val="single" w:sz="4" w:space="0" w:color="000000"/>
              <w:bottom w:val="single" w:sz="4" w:space="0" w:color="000000"/>
              <w:right w:val="single" w:sz="4" w:space="0" w:color="000000"/>
            </w:tcBorders>
          </w:tcPr>
          <w:p w:rsidR="006A39B8" w:rsidRDefault="006A39B8">
            <w:pPr>
              <w:pStyle w:val="BodyText"/>
              <w:jc w:val="center"/>
              <w:rPr>
                <w:sz w:val="22"/>
                <w:szCs w:val="22"/>
              </w:rPr>
            </w:pPr>
          </w:p>
          <w:p w:rsidR="006A39B8" w:rsidRDefault="006A39B8">
            <w:pPr>
              <w:pStyle w:val="BodyText"/>
              <w:jc w:val="center"/>
              <w:rPr>
                <w:sz w:val="22"/>
                <w:szCs w:val="22"/>
              </w:rPr>
            </w:pPr>
            <w:r>
              <w:rPr>
                <w:sz w:val="22"/>
                <w:szCs w:val="22"/>
              </w:rPr>
              <w:t>11%</w:t>
            </w:r>
          </w:p>
        </w:tc>
        <w:tc>
          <w:tcPr>
            <w:tcW w:w="2533" w:type="dxa"/>
            <w:tcBorders>
              <w:top w:val="single" w:sz="4" w:space="0" w:color="000000"/>
              <w:left w:val="single" w:sz="4" w:space="0" w:color="000000"/>
              <w:bottom w:val="single" w:sz="4" w:space="0" w:color="000000"/>
              <w:right w:val="single" w:sz="4" w:space="0" w:color="000000"/>
            </w:tcBorders>
          </w:tcPr>
          <w:p w:rsidR="006A39B8" w:rsidRDefault="006A39B8">
            <w:pPr>
              <w:pStyle w:val="BodyText"/>
              <w:jc w:val="center"/>
              <w:rPr>
                <w:sz w:val="22"/>
                <w:szCs w:val="22"/>
              </w:rPr>
            </w:pPr>
          </w:p>
          <w:p w:rsidR="006A39B8" w:rsidRDefault="006A39B8">
            <w:pPr>
              <w:pStyle w:val="BodyText"/>
              <w:jc w:val="center"/>
              <w:rPr>
                <w:sz w:val="22"/>
                <w:szCs w:val="22"/>
              </w:rPr>
            </w:pPr>
            <w:r>
              <w:rPr>
                <w:sz w:val="22"/>
                <w:szCs w:val="22"/>
              </w:rPr>
              <w:t>12,30%</w:t>
            </w:r>
          </w:p>
        </w:tc>
      </w:tr>
    </w:tbl>
    <w:p w:rsidR="006A39B8" w:rsidRDefault="006A39B8" w:rsidP="006A39B8">
      <w:pPr>
        <w:pStyle w:val="BodyText"/>
        <w:ind w:firstLine="720"/>
        <w:rPr>
          <w:sz w:val="20"/>
        </w:rPr>
      </w:pPr>
      <w:r>
        <w:rPr>
          <w:b/>
          <w:i/>
          <w:sz w:val="22"/>
          <w:szCs w:val="22"/>
          <w:lang w:val="sr-Latn-CS"/>
        </w:rPr>
        <w:t xml:space="preserve"> </w:t>
      </w:r>
    </w:p>
    <w:p w:rsidR="006A39B8" w:rsidRDefault="006A39B8" w:rsidP="006A39B8">
      <w:pPr>
        <w:jc w:val="both"/>
        <w:rPr>
          <w:sz w:val="22"/>
          <w:szCs w:val="22"/>
          <w:lang w:val="sr-Cyrl-CS"/>
        </w:rPr>
      </w:pPr>
    </w:p>
    <w:p w:rsidR="006A39B8" w:rsidRDefault="006A39B8" w:rsidP="006A39B8">
      <w:pPr>
        <w:jc w:val="both"/>
        <w:rPr>
          <w:sz w:val="22"/>
          <w:szCs w:val="22"/>
          <w:lang w:val="sr-Cyrl-CS"/>
        </w:rPr>
      </w:pPr>
    </w:p>
    <w:p w:rsidR="006A39B8" w:rsidRDefault="006A39B8" w:rsidP="006A39B8">
      <w:pPr>
        <w:jc w:val="both"/>
        <w:rPr>
          <w:sz w:val="22"/>
          <w:szCs w:val="22"/>
          <w:lang w:val="sr-Cyrl-CS"/>
        </w:rPr>
      </w:pPr>
    </w:p>
    <w:p w:rsidR="006A39B8" w:rsidRDefault="006A39B8" w:rsidP="006A39B8">
      <w:pPr>
        <w:jc w:val="both"/>
        <w:rPr>
          <w:sz w:val="22"/>
          <w:szCs w:val="22"/>
          <w:lang w:val="sr-Cyrl-CS"/>
        </w:rPr>
      </w:pPr>
    </w:p>
    <w:p w:rsidR="006A39B8" w:rsidRDefault="006A39B8" w:rsidP="006A39B8">
      <w:pPr>
        <w:jc w:val="both"/>
        <w:rPr>
          <w:sz w:val="22"/>
          <w:szCs w:val="22"/>
          <w:lang/>
        </w:rPr>
      </w:pPr>
      <w:r>
        <w:rPr>
          <w:sz w:val="22"/>
          <w:szCs w:val="22"/>
          <w:lang w:val="sr-Cyrl-CS"/>
        </w:rPr>
        <w:t xml:space="preserve">По спроведеној анализи понуда, комисија констатује да су понуде достављене у складу са Јавним позивом и да су прихватљиве, па  у складу са критеријум за избор најповољније понуде предлаже да се уговор о субвенционисању каматне стопе на одобрене краткорочне кредите за носиоце регистованих пољопривредних газдинстава (физичка лица и земљорадничке задруге), закључи са </w:t>
      </w:r>
      <w:r>
        <w:rPr>
          <w:sz w:val="22"/>
          <w:szCs w:val="22"/>
        </w:rPr>
        <w:t>“</w:t>
      </w:r>
      <w:r>
        <w:rPr>
          <w:sz w:val="22"/>
          <w:szCs w:val="22"/>
          <w:lang w:val="en-US"/>
        </w:rPr>
        <w:t>OTP bank</w:t>
      </w:r>
      <w:r>
        <w:rPr>
          <w:sz w:val="22"/>
          <w:szCs w:val="22"/>
        </w:rPr>
        <w:t>ом“ ад Нови Сад.</w:t>
      </w:r>
    </w:p>
    <w:p w:rsidR="006A39B8" w:rsidRDefault="006A39B8" w:rsidP="006A39B8">
      <w:pPr>
        <w:jc w:val="both"/>
        <w:rPr>
          <w:sz w:val="22"/>
          <w:szCs w:val="22"/>
          <w:lang/>
        </w:rPr>
      </w:pPr>
      <w:r>
        <w:rPr>
          <w:sz w:val="22"/>
          <w:szCs w:val="22"/>
          <w:lang/>
        </w:rPr>
        <w:t>На основу предлога Комисије, Општинско веће општине Велика Плана доноси одлуку као у диспозитиву.</w:t>
      </w:r>
    </w:p>
    <w:p w:rsidR="006A39B8" w:rsidRDefault="006A39B8" w:rsidP="006A39B8">
      <w:pPr>
        <w:jc w:val="both"/>
        <w:rPr>
          <w:sz w:val="22"/>
          <w:szCs w:val="22"/>
          <w:lang w:val="sr-Cyrl-CS"/>
        </w:rPr>
      </w:pPr>
    </w:p>
    <w:p w:rsidR="006A39B8" w:rsidRDefault="006A39B8" w:rsidP="006A39B8">
      <w:pPr>
        <w:jc w:val="both"/>
        <w:rPr>
          <w:sz w:val="22"/>
          <w:szCs w:val="22"/>
          <w:lang w:val="sr-Cyrl-CS"/>
        </w:rPr>
      </w:pPr>
    </w:p>
    <w:p w:rsidR="006A39B8" w:rsidRDefault="006A39B8" w:rsidP="006A39B8">
      <w:pPr>
        <w:jc w:val="both"/>
        <w:rPr>
          <w:sz w:val="22"/>
          <w:szCs w:val="22"/>
          <w:lang w:val="sr-Cyrl-CS"/>
        </w:rPr>
      </w:pPr>
    </w:p>
    <w:p w:rsidR="006A39B8" w:rsidRDefault="006A39B8" w:rsidP="006A39B8">
      <w:pPr>
        <w:jc w:val="both"/>
        <w:rPr>
          <w:sz w:val="22"/>
          <w:szCs w:val="22"/>
          <w:lang w:val="sr-Cyrl-CS"/>
        </w:rPr>
      </w:pPr>
      <w:r>
        <w:rPr>
          <w:sz w:val="22"/>
          <w:szCs w:val="22"/>
          <w:lang w:val="sr-Cyrl-CS"/>
        </w:rPr>
        <w:t xml:space="preserve">Број:011-55 /2016-II     </w:t>
      </w:r>
    </w:p>
    <w:p w:rsidR="006A39B8" w:rsidRDefault="006A39B8" w:rsidP="006A39B8">
      <w:pPr>
        <w:jc w:val="both"/>
        <w:rPr>
          <w:sz w:val="22"/>
          <w:szCs w:val="22"/>
          <w:lang w:val="sr-Cyrl-CS"/>
        </w:rPr>
      </w:pPr>
      <w:r>
        <w:rPr>
          <w:sz w:val="22"/>
          <w:szCs w:val="22"/>
          <w:lang w:val="sr-Cyrl-CS"/>
        </w:rPr>
        <w:t xml:space="preserve"> У Великој Плани, 6 маја 2016.године</w:t>
      </w:r>
    </w:p>
    <w:p w:rsidR="006A39B8" w:rsidRDefault="006A39B8" w:rsidP="006A39B8">
      <w:pPr>
        <w:rPr>
          <w:sz w:val="22"/>
          <w:szCs w:val="22"/>
          <w:lang/>
        </w:rPr>
      </w:pPr>
    </w:p>
    <w:p w:rsidR="006A39B8" w:rsidRDefault="006A39B8" w:rsidP="006A39B8">
      <w:pPr>
        <w:rPr>
          <w:sz w:val="22"/>
          <w:szCs w:val="22"/>
          <w:lang/>
        </w:rPr>
      </w:pPr>
    </w:p>
    <w:p w:rsidR="006A39B8" w:rsidRDefault="006A39B8" w:rsidP="006A39B8">
      <w:pPr>
        <w:rPr>
          <w:sz w:val="22"/>
          <w:szCs w:val="22"/>
          <w:lang/>
        </w:rPr>
      </w:pPr>
    </w:p>
    <w:p w:rsidR="006A39B8" w:rsidRDefault="006A39B8" w:rsidP="006A39B8">
      <w:pPr>
        <w:rPr>
          <w:sz w:val="22"/>
          <w:szCs w:val="22"/>
          <w:lang/>
        </w:rPr>
      </w:pPr>
    </w:p>
    <w:p w:rsidR="006A39B8" w:rsidRDefault="006A39B8" w:rsidP="006A39B8">
      <w:pPr>
        <w:rPr>
          <w:sz w:val="22"/>
          <w:szCs w:val="22"/>
          <w:lang/>
        </w:rPr>
      </w:pPr>
    </w:p>
    <w:p w:rsidR="006A39B8" w:rsidRDefault="006A39B8" w:rsidP="006A39B8">
      <w:pPr>
        <w:tabs>
          <w:tab w:val="left" w:pos="6412"/>
        </w:tabs>
        <w:rPr>
          <w:b/>
          <w:sz w:val="22"/>
          <w:szCs w:val="22"/>
          <w:lang/>
        </w:rPr>
      </w:pPr>
      <w:r>
        <w:rPr>
          <w:sz w:val="22"/>
          <w:szCs w:val="22"/>
          <w:lang/>
        </w:rPr>
        <w:tab/>
        <w:t xml:space="preserve">  </w:t>
      </w:r>
      <w:r>
        <w:rPr>
          <w:b/>
          <w:sz w:val="22"/>
          <w:szCs w:val="22"/>
          <w:lang/>
        </w:rPr>
        <w:t>ПРЕДСЕДНИК</w:t>
      </w:r>
    </w:p>
    <w:p w:rsidR="006A39B8" w:rsidRDefault="006A39B8" w:rsidP="006A39B8">
      <w:pPr>
        <w:tabs>
          <w:tab w:val="left" w:pos="6412"/>
        </w:tabs>
        <w:rPr>
          <w:b/>
          <w:sz w:val="22"/>
          <w:szCs w:val="22"/>
          <w:lang/>
        </w:rPr>
      </w:pPr>
    </w:p>
    <w:p w:rsidR="006A39B8" w:rsidRDefault="006A39B8" w:rsidP="006A39B8">
      <w:pPr>
        <w:tabs>
          <w:tab w:val="left" w:pos="6412"/>
        </w:tabs>
        <w:rPr>
          <w:sz w:val="22"/>
          <w:szCs w:val="22"/>
          <w:lang/>
        </w:rPr>
      </w:pPr>
      <w:r>
        <w:rPr>
          <w:sz w:val="22"/>
          <w:szCs w:val="22"/>
          <w:lang/>
        </w:rPr>
        <w:tab/>
        <w:t>С.Р.Игор Матковић</w:t>
      </w:r>
    </w:p>
    <w:p w:rsidR="00513DB5" w:rsidRPr="006A39B8" w:rsidRDefault="00513DB5">
      <w:pPr>
        <w:rPr>
          <w:lang/>
        </w:rPr>
      </w:pPr>
    </w:p>
    <w:sectPr w:rsidR="00513DB5" w:rsidRPr="006A39B8" w:rsidSect="00513D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A39B8"/>
    <w:rsid w:val="00513DB5"/>
    <w:rsid w:val="006A39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9B8"/>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A39B8"/>
    <w:pPr>
      <w:jc w:val="both"/>
    </w:pPr>
    <w:rPr>
      <w:sz w:val="32"/>
      <w:szCs w:val="20"/>
      <w:lang w:val="sr-Cyrl-CS" w:eastAsia="en-US"/>
    </w:rPr>
  </w:style>
  <w:style w:type="character" w:customStyle="1" w:styleId="BodyTextChar">
    <w:name w:val="Body Text Char"/>
    <w:basedOn w:val="DefaultParagraphFont"/>
    <w:link w:val="BodyText"/>
    <w:rsid w:val="006A39B8"/>
    <w:rPr>
      <w:rFonts w:ascii="Times New Roman" w:eastAsia="Times New Roman" w:hAnsi="Times New Roman" w:cs="Times New Roman"/>
      <w:sz w:val="32"/>
      <w:szCs w:val="20"/>
      <w:lang w:val="sr-Cyrl-CS"/>
    </w:rPr>
  </w:style>
</w:styles>
</file>

<file path=word/webSettings.xml><?xml version="1.0" encoding="utf-8"?>
<w:webSettings xmlns:r="http://schemas.openxmlformats.org/officeDocument/2006/relationships" xmlns:w="http://schemas.openxmlformats.org/wordprocessingml/2006/main">
  <w:divs>
    <w:div w:id="78855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Nacelnik</dc:creator>
  <cp:lastModifiedBy>Nacelnik</cp:lastModifiedBy>
  <cp:revision>2</cp:revision>
  <dcterms:created xsi:type="dcterms:W3CDTF">2016-05-09T06:42:00Z</dcterms:created>
  <dcterms:modified xsi:type="dcterms:W3CDTF">2016-05-09T06:43:00Z</dcterms:modified>
</cp:coreProperties>
</file>